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15935" w14:textId="22C7D70B" w:rsidR="0021417E" w:rsidRPr="00B266B0" w:rsidRDefault="0021417E" w:rsidP="0021417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687CD9">
        <w:rPr>
          <w:bCs/>
          <w:noProof w:val="0"/>
          <w:sz w:val="24"/>
          <w:szCs w:val="24"/>
        </w:rPr>
        <w:t>04283</w:t>
      </w:r>
    </w:p>
    <w:p w14:paraId="086825CB" w14:textId="42CC3EF7" w:rsidR="0021417E" w:rsidRPr="00465587" w:rsidRDefault="0021417E" w:rsidP="0021417E">
      <w:pPr>
        <w:pStyle w:val="Header"/>
        <w:tabs>
          <w:tab w:val="right" w:pos="9639"/>
        </w:tabs>
        <w:rPr>
          <w:rFonts w:eastAsia="SimSun"/>
          <w:bCs/>
          <w:sz w:val="24"/>
          <w:szCs w:val="24"/>
          <w:lang w:eastAsia="zh-CN"/>
        </w:rPr>
      </w:pPr>
      <w:r>
        <w:rPr>
          <w:rFonts w:eastAsia="SimSun"/>
          <w:bCs/>
          <w:sz w:val="24"/>
          <w:szCs w:val="24"/>
          <w:lang w:eastAsia="zh-CN"/>
        </w:rPr>
        <w:t>Xian</w:t>
      </w:r>
      <w:r w:rsidRPr="00465587">
        <w:rPr>
          <w:rFonts w:eastAsia="SimSun"/>
          <w:bCs/>
          <w:sz w:val="24"/>
          <w:szCs w:val="24"/>
          <w:lang w:eastAsia="zh-CN"/>
        </w:rPr>
        <w:t xml:space="preserve">, </w:t>
      </w:r>
      <w:r>
        <w:rPr>
          <w:rFonts w:eastAsia="SimSun"/>
          <w:bCs/>
          <w:sz w:val="24"/>
          <w:szCs w:val="24"/>
          <w:lang w:eastAsia="zh-CN"/>
        </w:rPr>
        <w:t>China</w:t>
      </w:r>
      <w:r w:rsidRPr="00465587">
        <w:rPr>
          <w:rFonts w:eastAsia="SimSun"/>
          <w:bCs/>
          <w:sz w:val="24"/>
          <w:szCs w:val="24"/>
          <w:lang w:eastAsia="zh-CN"/>
        </w:rPr>
        <w:t xml:space="preserve">, </w:t>
      </w:r>
      <w:r>
        <w:rPr>
          <w:rFonts w:cs="Arial"/>
          <w:bCs/>
          <w:sz w:val="22"/>
        </w:rPr>
        <w:t>08 – 12 April</w:t>
      </w:r>
      <w:r w:rsidRPr="004D1605">
        <w:rPr>
          <w:rFonts w:cs="Arial"/>
          <w:bCs/>
          <w:sz w:val="22"/>
        </w:rPr>
        <w:t xml:space="preserve"> 201</w:t>
      </w:r>
      <w:r>
        <w:rPr>
          <w:rFonts w:cs="Arial"/>
          <w:bCs/>
          <w:sz w:val="22"/>
        </w:rPr>
        <w:t>9</w:t>
      </w:r>
      <w:r>
        <w:rPr>
          <w:rFonts w:eastAsia="SimSun"/>
          <w:noProof w:val="0"/>
          <w:sz w:val="24"/>
          <w:szCs w:val="24"/>
          <w:lang w:eastAsia="zh-CN"/>
        </w:rPr>
        <w:tab/>
      </w:r>
    </w:p>
    <w:p w14:paraId="1E7E8090" w14:textId="77777777" w:rsidR="0021417E" w:rsidRPr="00B266B0" w:rsidRDefault="0021417E" w:rsidP="0021417E">
      <w:pPr>
        <w:pStyle w:val="Header"/>
        <w:rPr>
          <w:bCs/>
          <w:noProof w:val="0"/>
          <w:sz w:val="24"/>
        </w:rPr>
      </w:pPr>
    </w:p>
    <w:p w14:paraId="7616E768" w14:textId="77777777" w:rsidR="0021417E" w:rsidRPr="00B266B0" w:rsidRDefault="0021417E" w:rsidP="0021417E">
      <w:pPr>
        <w:pStyle w:val="Header"/>
        <w:rPr>
          <w:bCs/>
          <w:noProof w:val="0"/>
          <w:sz w:val="24"/>
        </w:rPr>
      </w:pPr>
    </w:p>
    <w:p w14:paraId="67B86B7A" w14:textId="7660A41A" w:rsidR="0021417E" w:rsidRPr="00B266B0" w:rsidRDefault="0021417E" w:rsidP="0021417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14382">
        <w:rPr>
          <w:rFonts w:cs="Arial"/>
          <w:b/>
          <w:bCs/>
          <w:sz w:val="24"/>
          <w:lang w:eastAsia="ja-JP"/>
        </w:rPr>
        <w:t>12.3.3.1</w:t>
      </w:r>
    </w:p>
    <w:p w14:paraId="29001A56" w14:textId="77777777" w:rsidR="0021417E" w:rsidRPr="00B266B0" w:rsidRDefault="0021417E" w:rsidP="0021417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45BE90BE" w14:textId="06AD561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A412B">
        <w:rPr>
          <w:rFonts w:ascii="Arial" w:hAnsi="Arial" w:cs="Arial"/>
          <w:b/>
          <w:bCs/>
          <w:sz w:val="24"/>
        </w:rPr>
        <w:t>Details on the configuration of CHO condition</w:t>
      </w:r>
    </w:p>
    <w:p w14:paraId="3AC3A0B1" w14:textId="3EBAE316"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413B83" w:rsidRPr="00E56FFE">
        <w:rPr>
          <w:rFonts w:ascii="Arial" w:hAnsi="Arial" w:cs="Arial"/>
          <w:b/>
          <w:bCs/>
          <w:sz w:val="24"/>
        </w:rPr>
        <w:t>LTE_feMob</w:t>
      </w:r>
      <w:proofErr w:type="spellEnd"/>
      <w:r w:rsidR="00413B83" w:rsidRPr="00E56FFE">
        <w:rPr>
          <w:rFonts w:ascii="Arial" w:hAnsi="Arial" w:cs="Arial"/>
          <w:b/>
          <w:bCs/>
          <w:sz w:val="24"/>
        </w:rPr>
        <w:t>-Core</w:t>
      </w:r>
      <w:r w:rsidR="00413B83" w:rsidRPr="00112F1A">
        <w:rPr>
          <w:rFonts w:ascii="Arial" w:hAnsi="Arial" w:cs="Arial"/>
          <w:b/>
          <w:bCs/>
          <w:sz w:val="24"/>
        </w:rPr>
        <w:t xml:space="preserve"> </w:t>
      </w:r>
      <w:r w:rsidR="00413B83">
        <w:rPr>
          <w:rFonts w:ascii="Arial" w:hAnsi="Arial" w:cs="Arial"/>
          <w:b/>
          <w:bCs/>
          <w:sz w:val="24"/>
        </w:rPr>
        <w:t>-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59CA6A6" w14:textId="1997A2EA" w:rsidR="00B71493" w:rsidRDefault="0054791C" w:rsidP="002D694C">
      <w:r>
        <w:t xml:space="preserve">In RAN2#105, some details on CHO have been agreed, however still, </w:t>
      </w:r>
      <w:proofErr w:type="gramStart"/>
      <w:r>
        <w:t>a number of</w:t>
      </w:r>
      <w:proofErr w:type="gramEnd"/>
      <w:r>
        <w:t xml:space="preserve"> aspects need further clarification</w:t>
      </w:r>
      <w:r w:rsidR="00D42FAF">
        <w:t>.</w:t>
      </w:r>
      <w:r>
        <w:t xml:space="preserve"> A very relevant aspect of CHO is the condition leading to </w:t>
      </w:r>
      <w:r w:rsidR="00496A2F">
        <w:t xml:space="preserve">the </w:t>
      </w:r>
      <w:r>
        <w:t>handover</w:t>
      </w:r>
      <w:r w:rsidR="00496A2F">
        <w:t xml:space="preserve"> execution</w:t>
      </w:r>
      <w:r>
        <w:t>. In this contribution we will discuss the details of this condition.</w:t>
      </w:r>
    </w:p>
    <w:p w14:paraId="2A51F52E" w14:textId="5E1BCBBC" w:rsidR="00B71493" w:rsidRDefault="00B71493" w:rsidP="00B71493">
      <w:pPr>
        <w:pStyle w:val="Heading1"/>
      </w:pPr>
      <w:bookmarkStart w:id="0" w:name="_GoBack"/>
      <w:bookmarkEnd w:id="0"/>
      <w:r>
        <w:t>2</w:t>
      </w:r>
      <w:r w:rsidRPr="006E13D1">
        <w:tab/>
      </w:r>
      <w:r w:rsidR="001A412B">
        <w:t>Discussion</w:t>
      </w:r>
    </w:p>
    <w:p w14:paraId="0526CA36" w14:textId="48F5BA6A" w:rsidR="00095856" w:rsidRDefault="00D52750" w:rsidP="00095856">
      <w:pPr>
        <w:pStyle w:val="Heading2"/>
      </w:pPr>
      <w:r>
        <w:t>2</w:t>
      </w:r>
      <w:r w:rsidR="00095856">
        <w:t>.</w:t>
      </w:r>
      <w:r w:rsidR="00D13605">
        <w:t>1</w:t>
      </w:r>
      <w:r w:rsidR="00095856">
        <w:tab/>
      </w:r>
      <w:r w:rsidR="001A412B">
        <w:t>Responsibility of Condition</w:t>
      </w:r>
    </w:p>
    <w:p w14:paraId="077787F0" w14:textId="67918C5F" w:rsidR="00B42C75" w:rsidRDefault="000D6E25" w:rsidP="00095856">
      <w:pPr>
        <w:jc w:val="both"/>
      </w:pPr>
      <w:r>
        <w:t xml:space="preserve">There are basically </w:t>
      </w:r>
      <w:r w:rsidR="0070267C">
        <w:t xml:space="preserve">three </w:t>
      </w:r>
      <w:r>
        <w:t>options for configuring the</w:t>
      </w:r>
      <w:r w:rsidR="00B42C75">
        <w:t xml:space="preserve"> CHO condition:</w:t>
      </w:r>
    </w:p>
    <w:p w14:paraId="343A3583" w14:textId="370B4800" w:rsidR="00B42C75" w:rsidRDefault="00B42C75" w:rsidP="00B42C75">
      <w:pPr>
        <w:pStyle w:val="ListParagraph"/>
        <w:numPr>
          <w:ilvl w:val="0"/>
          <w:numId w:val="9"/>
        </w:numPr>
        <w:jc w:val="both"/>
      </w:pPr>
      <w:r>
        <w:t xml:space="preserve">The target cell configures the condition (and embeds it into the </w:t>
      </w:r>
      <w:r w:rsidR="0070267C">
        <w:t>HO Command</w:t>
      </w:r>
      <w:r>
        <w:t>)</w:t>
      </w:r>
    </w:p>
    <w:p w14:paraId="3C28200E" w14:textId="46D5FAA5" w:rsidR="00095856" w:rsidRDefault="00B42C75" w:rsidP="00B42C75">
      <w:pPr>
        <w:pStyle w:val="ListParagraph"/>
        <w:numPr>
          <w:ilvl w:val="0"/>
          <w:numId w:val="9"/>
        </w:numPr>
        <w:jc w:val="both"/>
      </w:pPr>
      <w:r>
        <w:t xml:space="preserve">The source cell adds the condition to the RRC reconfiguration carrying the HO </w:t>
      </w:r>
      <w:r w:rsidR="0070267C">
        <w:t>Command</w:t>
      </w:r>
    </w:p>
    <w:p w14:paraId="009F563E" w14:textId="3F45E4B8" w:rsidR="0070267C" w:rsidRDefault="0070267C" w:rsidP="00B42C75">
      <w:pPr>
        <w:pStyle w:val="ListParagraph"/>
        <w:numPr>
          <w:ilvl w:val="0"/>
          <w:numId w:val="9"/>
        </w:numPr>
        <w:jc w:val="both"/>
      </w:pPr>
      <w:r>
        <w:t>The source cell provides the condition in the Handover Request, and the target inserts it into the HO Command</w:t>
      </w:r>
    </w:p>
    <w:p w14:paraId="26C8E314" w14:textId="1CCAF19A" w:rsidR="00B42C75" w:rsidRDefault="00B42C75" w:rsidP="00B42C75">
      <w:pPr>
        <w:jc w:val="both"/>
      </w:pPr>
      <w:r>
        <w:t>We believe that the source cell has much more knowledge about the UE properties (e.g. mobility, service, etc.) as well as about the radio conditions in its cells (e.g. interference). Furthermore, if multiple target candidates are configured, the source may align the conditions.</w:t>
      </w:r>
      <w:r w:rsidR="0070267C">
        <w:t xml:space="preserve"> The source cell may even want to change the condition, which would not be possible with the last option, which looks cumbersome anyway.</w:t>
      </w:r>
    </w:p>
    <w:p w14:paraId="36A2075D" w14:textId="28621A60" w:rsidR="00D13605" w:rsidRDefault="001A412B" w:rsidP="00095856">
      <w:pPr>
        <w:jc w:val="both"/>
        <w:rPr>
          <w:b/>
        </w:rPr>
      </w:pPr>
      <w:r>
        <w:rPr>
          <w:b/>
        </w:rPr>
        <w:t>Proposal</w:t>
      </w:r>
      <w:r w:rsidR="00095856">
        <w:rPr>
          <w:b/>
        </w:rPr>
        <w:t xml:space="preserve"> </w:t>
      </w:r>
      <w:r w:rsidR="00D52750">
        <w:rPr>
          <w:b/>
        </w:rPr>
        <w:t>1</w:t>
      </w:r>
      <w:r w:rsidR="00095856">
        <w:rPr>
          <w:b/>
        </w:rPr>
        <w:t xml:space="preserve">: </w:t>
      </w:r>
      <w:r>
        <w:rPr>
          <w:b/>
        </w:rPr>
        <w:t xml:space="preserve">The source cell adds the condition to the RRC </w:t>
      </w:r>
      <w:r w:rsidR="00496A2F">
        <w:rPr>
          <w:b/>
        </w:rPr>
        <w:t xml:space="preserve">connection </w:t>
      </w:r>
      <w:r>
        <w:rPr>
          <w:b/>
        </w:rPr>
        <w:t>reconfiguration carrying the HO Command</w:t>
      </w:r>
      <w:r w:rsidR="00496A2F">
        <w:rPr>
          <w:b/>
        </w:rPr>
        <w:t xml:space="preserve"> (i.e. with </w:t>
      </w:r>
      <w:proofErr w:type="spellStart"/>
      <w:r w:rsidR="00496A2F" w:rsidRPr="00314087">
        <w:rPr>
          <w:b/>
          <w:i/>
        </w:rPr>
        <w:t>mobilityControlInfo</w:t>
      </w:r>
      <w:proofErr w:type="spellEnd"/>
      <w:r w:rsidR="00496A2F">
        <w:rPr>
          <w:b/>
        </w:rPr>
        <w:t>)</w:t>
      </w:r>
      <w:r w:rsidR="00F9284C">
        <w:rPr>
          <w:b/>
        </w:rPr>
        <w:t>.</w:t>
      </w:r>
    </w:p>
    <w:p w14:paraId="08EB688F" w14:textId="16B1E100" w:rsidR="0082456E" w:rsidRDefault="0082456E" w:rsidP="0082456E">
      <w:pPr>
        <w:pStyle w:val="Heading2"/>
      </w:pPr>
      <w:r>
        <w:t>2.2</w:t>
      </w:r>
      <w:r>
        <w:tab/>
        <w:t>Involvement of target cell</w:t>
      </w:r>
    </w:p>
    <w:p w14:paraId="01F06E97" w14:textId="70E00056" w:rsidR="00B42C75" w:rsidRDefault="00B42C75" w:rsidP="0082456E">
      <w:pPr>
        <w:jc w:val="both"/>
      </w:pPr>
      <w:r>
        <w:t xml:space="preserve">The question is whether the target </w:t>
      </w:r>
      <w:proofErr w:type="gramStart"/>
      <w:r>
        <w:t>has to</w:t>
      </w:r>
      <w:proofErr w:type="gramEnd"/>
      <w:r>
        <w:t xml:space="preserve"> be aware about how </w:t>
      </w:r>
      <w:r w:rsidR="005E0FB4">
        <w:t xml:space="preserve">exactly </w:t>
      </w:r>
      <w:r>
        <w:t>the condition is configured. Wh</w:t>
      </w:r>
      <w:r w:rsidR="00CF5937">
        <w:t>ile</w:t>
      </w:r>
      <w:r>
        <w:t xml:space="preserve"> we do not see the need to have a detailed knowledge, the target obviously can benefit from getting some knowledge about </w:t>
      </w:r>
      <w:r w:rsidR="004A24C8">
        <w:t xml:space="preserve">how likely and how soon the UE is expected to access it. The latter could indeed be visible from the condition, </w:t>
      </w:r>
      <w:proofErr w:type="gramStart"/>
      <w:r w:rsidR="004A24C8">
        <w:t>in particular when</w:t>
      </w:r>
      <w:proofErr w:type="gramEnd"/>
      <w:r w:rsidR="004A24C8">
        <w:t xml:space="preserve"> comparing it with current measurements</w:t>
      </w:r>
      <w:r w:rsidR="0054791C">
        <w:t xml:space="preserve"> (forwarded in HO REQ)</w:t>
      </w:r>
      <w:r w:rsidR="004A24C8">
        <w:t>. However, the source may also provide simpler indications to the target, potentially in the Handover Request message. Also, it could be helpful to know how many target candidates are already configured or will be configured at maximum.</w:t>
      </w:r>
    </w:p>
    <w:p w14:paraId="1C6FC43F" w14:textId="0BDCB53B" w:rsidR="004A24C8" w:rsidRDefault="004A24C8" w:rsidP="0082456E">
      <w:pPr>
        <w:jc w:val="both"/>
      </w:pPr>
      <w:r>
        <w:t xml:space="preserve">Based on this information, the target can decide how strictly to reserve the resources for the UE. For instance, if only </w:t>
      </w:r>
      <w:r w:rsidR="0054791C">
        <w:t>a single</w:t>
      </w:r>
      <w:r>
        <w:t xml:space="preserve"> target will be configured, the preparation was not done extremely early, and the condition is not extremely late, the target has reserve</w:t>
      </w:r>
      <w:r w:rsidR="00CF5937">
        <w:t>d</w:t>
      </w:r>
      <w:r>
        <w:t xml:space="preserve"> resources almost as strict</w:t>
      </w:r>
      <w:r w:rsidR="0054791C">
        <w:t>ly</w:t>
      </w:r>
      <w:r>
        <w:t xml:space="preserve"> as for the legacy handover. Otherwise, if multiple targets can be configured, the preparation is done extremely early, and the condition is late, then the target can </w:t>
      </w:r>
      <w:r w:rsidR="0054791C">
        <w:t xml:space="preserve">use a more relaxed reservation and potentially </w:t>
      </w:r>
      <w:r>
        <w:t>apply overbooking, since this indicates larger likelihood that the UE will show up late or not at all.</w:t>
      </w:r>
    </w:p>
    <w:p w14:paraId="6A6299E4" w14:textId="5C79C89E" w:rsidR="00095856" w:rsidRDefault="0082456E" w:rsidP="00095856">
      <w:pPr>
        <w:jc w:val="both"/>
        <w:rPr>
          <w:b/>
        </w:rPr>
      </w:pPr>
      <w:r>
        <w:rPr>
          <w:b/>
        </w:rPr>
        <w:t xml:space="preserve">Proposal </w:t>
      </w:r>
      <w:r w:rsidR="004A24C8">
        <w:rPr>
          <w:b/>
        </w:rPr>
        <w:t>2</w:t>
      </w:r>
      <w:r>
        <w:rPr>
          <w:b/>
        </w:rPr>
        <w:t xml:space="preserve">: </w:t>
      </w:r>
      <w:r w:rsidR="004A24C8">
        <w:rPr>
          <w:b/>
        </w:rPr>
        <w:t xml:space="preserve">The target does not need to know the </w:t>
      </w:r>
      <w:r w:rsidR="00CF5937">
        <w:rPr>
          <w:b/>
        </w:rPr>
        <w:t xml:space="preserve">exact </w:t>
      </w:r>
      <w:r w:rsidR="004A24C8">
        <w:rPr>
          <w:b/>
        </w:rPr>
        <w:t>condition</w:t>
      </w:r>
      <w:r w:rsidR="00CF5937">
        <w:rPr>
          <w:b/>
        </w:rPr>
        <w:t>,</w:t>
      </w:r>
      <w:r w:rsidR="004A24C8">
        <w:rPr>
          <w:b/>
        </w:rPr>
        <w:t xml:space="preserve"> but </w:t>
      </w:r>
      <w:r w:rsidR="00BA57FA">
        <w:rPr>
          <w:b/>
        </w:rPr>
        <w:t xml:space="preserve">may benefit from information </w:t>
      </w:r>
      <w:r w:rsidR="00D36CBB">
        <w:rPr>
          <w:b/>
        </w:rPr>
        <w:t>providing guidance on</w:t>
      </w:r>
      <w:r w:rsidR="00BA57FA">
        <w:rPr>
          <w:b/>
        </w:rPr>
        <w:t xml:space="preserve"> how strict the resource reservation </w:t>
      </w:r>
      <w:proofErr w:type="gramStart"/>
      <w:r w:rsidR="00BA57FA">
        <w:rPr>
          <w:b/>
        </w:rPr>
        <w:t>has to</w:t>
      </w:r>
      <w:proofErr w:type="gramEnd"/>
      <w:r w:rsidR="00BA57FA">
        <w:rPr>
          <w:b/>
        </w:rPr>
        <w:t xml:space="preserve"> be.</w:t>
      </w:r>
    </w:p>
    <w:p w14:paraId="600C449B" w14:textId="47124C76" w:rsidR="00A14B70" w:rsidRDefault="00A14B70" w:rsidP="00A14B70">
      <w:pPr>
        <w:jc w:val="both"/>
      </w:pPr>
      <w:r>
        <w:t xml:space="preserve">A </w:t>
      </w:r>
      <w:r w:rsidR="00D14382">
        <w:t xml:space="preserve">corresponding </w:t>
      </w:r>
      <w:r>
        <w:t xml:space="preserve">LS to RAN3 has already been drafted in </w:t>
      </w:r>
      <w:r>
        <w:fldChar w:fldCharType="begin"/>
      </w:r>
      <w:r>
        <w:instrText xml:space="preserve"> REF _Ref4424721 \r \h </w:instrText>
      </w:r>
      <w:r>
        <w:fldChar w:fldCharType="separate"/>
      </w:r>
      <w:r>
        <w:t>[3]</w:t>
      </w:r>
      <w:r>
        <w:fldChar w:fldCharType="end"/>
      </w:r>
      <w:r w:rsidR="00CF5937">
        <w:t>, among the others explaining HO Preparation phase of CHO</w:t>
      </w:r>
      <w:r>
        <w:t xml:space="preserve">. </w:t>
      </w:r>
    </w:p>
    <w:p w14:paraId="314931E7" w14:textId="77777777" w:rsidR="00A14B70" w:rsidRDefault="00A14B70" w:rsidP="00095856">
      <w:pPr>
        <w:jc w:val="both"/>
        <w:rPr>
          <w:b/>
        </w:rPr>
      </w:pPr>
    </w:p>
    <w:p w14:paraId="1879DA95" w14:textId="5188C06C" w:rsidR="00095856" w:rsidRDefault="00D52750" w:rsidP="00095856">
      <w:pPr>
        <w:pStyle w:val="Heading2"/>
      </w:pPr>
      <w:r>
        <w:lastRenderedPageBreak/>
        <w:t>2</w:t>
      </w:r>
      <w:r w:rsidR="00095856">
        <w:t>.</w:t>
      </w:r>
      <w:r w:rsidR="0082456E">
        <w:t>3</w:t>
      </w:r>
      <w:r w:rsidR="00095856">
        <w:tab/>
      </w:r>
      <w:r w:rsidR="00AB2D85">
        <w:t>Format of condition</w:t>
      </w:r>
    </w:p>
    <w:p w14:paraId="15C33496" w14:textId="3422969F" w:rsidR="00095856" w:rsidRDefault="00AB2D85" w:rsidP="00095856">
      <w:pPr>
        <w:jc w:val="both"/>
      </w:pPr>
      <w:r>
        <w:t xml:space="preserve">In </w:t>
      </w:r>
      <w:r>
        <w:fldChar w:fldCharType="begin"/>
      </w:r>
      <w:r>
        <w:instrText xml:space="preserve"> REF _Ref4083716 \r \h </w:instrText>
      </w:r>
      <w:r>
        <w:fldChar w:fldCharType="separate"/>
      </w:r>
      <w:r>
        <w:t>[2]</w:t>
      </w:r>
      <w:r>
        <w:fldChar w:fldCharType="end"/>
      </w:r>
      <w:r>
        <w:t xml:space="preserve"> it is proposed to reuse the definition of the A3 measurement reporting event. Whereas we agree that the A3 principle is a good point to start, we see some problems which </w:t>
      </w:r>
      <w:proofErr w:type="gramStart"/>
      <w:r>
        <w:t>have to</w:t>
      </w:r>
      <w:proofErr w:type="gramEnd"/>
      <w:r>
        <w:t xml:space="preserve"> be clarified:</w:t>
      </w:r>
    </w:p>
    <w:p w14:paraId="2DF9169F" w14:textId="2B39042E" w:rsidR="00AB2D85" w:rsidRDefault="00AB2D85" w:rsidP="00AB2D85">
      <w:pPr>
        <w:pStyle w:val="ListParagraph"/>
        <w:numPr>
          <w:ilvl w:val="0"/>
          <w:numId w:val="9"/>
        </w:numPr>
        <w:jc w:val="both"/>
      </w:pPr>
      <w:r>
        <w:t xml:space="preserve">A3 is a measurement reporting event, i.e. A3 expiry will trigger a measurement report. Expiry of CHO condition shall not trigger a measurement report, instead it shall trigger the execution of the CHO. Hence, formally it can not be a measurement reporting event (although large parts of the </w:t>
      </w:r>
      <w:r w:rsidR="00CF5937">
        <w:t>RRC</w:t>
      </w:r>
      <w:r>
        <w:t xml:space="preserve"> description </w:t>
      </w:r>
      <w:r w:rsidR="00B3279E">
        <w:t xml:space="preserve">and even ASN.1 code </w:t>
      </w:r>
      <w:r>
        <w:t>can be reused).</w:t>
      </w:r>
    </w:p>
    <w:p w14:paraId="026A149D" w14:textId="7252B5AD" w:rsidR="00AB2D85" w:rsidRDefault="00AB2D85" w:rsidP="00AB2D85">
      <w:pPr>
        <w:pStyle w:val="ListParagraph"/>
        <w:numPr>
          <w:ilvl w:val="0"/>
          <w:numId w:val="9"/>
        </w:numPr>
        <w:jc w:val="both"/>
      </w:pPr>
      <w:r>
        <w:t xml:space="preserve">The condition </w:t>
      </w:r>
      <w:proofErr w:type="gramStart"/>
      <w:r>
        <w:t>has to</w:t>
      </w:r>
      <w:proofErr w:type="gramEnd"/>
      <w:r>
        <w:t xml:space="preserve"> be evaluated for a single neighbour</w:t>
      </w:r>
      <w:r w:rsidR="00CF5937">
        <w:t xml:space="preserve"> only</w:t>
      </w:r>
      <w:r>
        <w:t xml:space="preserve">, not for all, and only this single neighbour can </w:t>
      </w:r>
      <w:r w:rsidR="00CF5937">
        <w:t xml:space="preserve">meet </w:t>
      </w:r>
      <w:r>
        <w:t xml:space="preserve">the condition. This also </w:t>
      </w:r>
      <w:proofErr w:type="gramStart"/>
      <w:r>
        <w:t>has to</w:t>
      </w:r>
      <w:proofErr w:type="gramEnd"/>
      <w:r>
        <w:t xml:space="preserve"> be clarified.</w:t>
      </w:r>
    </w:p>
    <w:p w14:paraId="7109D8D0" w14:textId="6A10A4AF" w:rsidR="00AB2D85" w:rsidRDefault="00AB2D85" w:rsidP="00AB2D85">
      <w:pPr>
        <w:pStyle w:val="ListParagraph"/>
        <w:numPr>
          <w:ilvl w:val="0"/>
          <w:numId w:val="9"/>
        </w:numPr>
        <w:jc w:val="both"/>
      </w:pPr>
      <w:r>
        <w:t xml:space="preserve">It also </w:t>
      </w:r>
      <w:proofErr w:type="gramStart"/>
      <w:r>
        <w:t>has to</w:t>
      </w:r>
      <w:proofErr w:type="gramEnd"/>
      <w:r>
        <w:t xml:space="preserve"> be clarified whether all offsets defined for the A3 event </w:t>
      </w:r>
      <w:r w:rsidR="00CF5937">
        <w:t>need</w:t>
      </w:r>
      <w:r>
        <w:t xml:space="preserve"> to be applied.</w:t>
      </w:r>
    </w:p>
    <w:p w14:paraId="7EE50E4B" w14:textId="52015F5B" w:rsidR="00AB2D85" w:rsidRDefault="00AB2D85" w:rsidP="00AB2D85">
      <w:pPr>
        <w:pStyle w:val="ListParagraph"/>
        <w:numPr>
          <w:ilvl w:val="0"/>
          <w:numId w:val="9"/>
        </w:numPr>
        <w:jc w:val="both"/>
      </w:pPr>
      <w:r>
        <w:t>Further simplifications can be discussed. For instance, it was questioned whether time to trigger is really needed. This may simplify the condition significantly, since a split into entry and leaving conditions is no longer necessary. However, we also agree that TTT may provide benefits in some scenarios.</w:t>
      </w:r>
    </w:p>
    <w:p w14:paraId="7CC529A4" w14:textId="45C82DF7" w:rsidR="00095856" w:rsidRDefault="00AB2D85" w:rsidP="00095856">
      <w:pPr>
        <w:jc w:val="both"/>
        <w:rPr>
          <w:b/>
        </w:rPr>
      </w:pPr>
      <w:r>
        <w:rPr>
          <w:b/>
        </w:rPr>
        <w:t>Proposal</w:t>
      </w:r>
      <w:r w:rsidR="00095856">
        <w:rPr>
          <w:b/>
        </w:rPr>
        <w:t xml:space="preserve"> </w:t>
      </w:r>
      <w:r w:rsidR="00D36CBB">
        <w:rPr>
          <w:b/>
        </w:rPr>
        <w:t>3</w:t>
      </w:r>
      <w:r w:rsidR="00095856">
        <w:rPr>
          <w:b/>
        </w:rPr>
        <w:t>:</w:t>
      </w:r>
      <w:r>
        <w:rPr>
          <w:b/>
        </w:rPr>
        <w:t xml:space="preserve"> The format of the CHO condition can use large parts of the A3 definition, however, it cannot be formulated as a measurement reporting event.</w:t>
      </w:r>
    </w:p>
    <w:p w14:paraId="08475E2A" w14:textId="3FBD1CB6" w:rsidR="00D36CBB" w:rsidRDefault="00D36CBB" w:rsidP="00D36CBB">
      <w:pPr>
        <w:jc w:val="both"/>
      </w:pPr>
      <w:r>
        <w:t xml:space="preserve">With the discussion above, </w:t>
      </w:r>
      <w:proofErr w:type="gramStart"/>
      <w:r>
        <w:t>it is clear that the</w:t>
      </w:r>
      <w:proofErr w:type="gramEnd"/>
      <w:r>
        <w:t xml:space="preserve"> specification of the condition will require effort. Therefore, we believe that an A3-like condition is </w:t>
      </w:r>
      <w:proofErr w:type="gramStart"/>
      <w:r>
        <w:t>sufficient</w:t>
      </w:r>
      <w:proofErr w:type="gramEnd"/>
      <w:r>
        <w:t xml:space="preserve"> for the baseline CHO</w:t>
      </w:r>
      <w:r w:rsidR="00CF5937">
        <w:t>, considering limited time left in this WI and scarce progress made so far</w:t>
      </w:r>
      <w:r>
        <w:t>. Other conditions, e.g. following the A5 or A4 principle shall not be discussed in Release 16.</w:t>
      </w:r>
    </w:p>
    <w:p w14:paraId="34F42AE1" w14:textId="2E53E145" w:rsidR="00D36CBB" w:rsidRDefault="00D36CBB" w:rsidP="00D36CBB">
      <w:pPr>
        <w:jc w:val="both"/>
        <w:rPr>
          <w:b/>
        </w:rPr>
      </w:pPr>
      <w:r>
        <w:rPr>
          <w:b/>
        </w:rPr>
        <w:t xml:space="preserve">Proposal 4: Further conditions based on other than A3 principle shall not be studied in </w:t>
      </w:r>
      <w:r w:rsidR="003E6CB9">
        <w:rPr>
          <w:b/>
        </w:rPr>
        <w:t xml:space="preserve">LTE </w:t>
      </w:r>
      <w:r>
        <w:rPr>
          <w:b/>
        </w:rPr>
        <w:t>Release 16.</w:t>
      </w:r>
    </w:p>
    <w:p w14:paraId="405E59C4" w14:textId="1B8AAAB6" w:rsidR="00D36CBB" w:rsidRDefault="00D36CBB" w:rsidP="00D36CBB">
      <w:pPr>
        <w:pStyle w:val="Heading2"/>
      </w:pPr>
      <w:r>
        <w:t>2.</w:t>
      </w:r>
      <w:r w:rsidR="00572F72">
        <w:t>4</w:t>
      </w:r>
      <w:r>
        <w:tab/>
        <w:t>Conditions for multiple targets</w:t>
      </w:r>
    </w:p>
    <w:p w14:paraId="5A4E96DC" w14:textId="2A378C53" w:rsidR="00D36CBB" w:rsidRDefault="00D36CBB" w:rsidP="00D36CBB">
      <w:pPr>
        <w:jc w:val="both"/>
      </w:pPr>
      <w:r>
        <w:t xml:space="preserve">If multiple target candidates can be configured, the question is whether the same condition shall apply for all target candidates, or whether it should be possible to configure different conditions. In principle, it should </w:t>
      </w:r>
      <w:proofErr w:type="gramStart"/>
      <w:r>
        <w:t>definitely be</w:t>
      </w:r>
      <w:proofErr w:type="gramEnd"/>
      <w:r>
        <w:t xml:space="preserve"> allowed to use different triggering points for different targets. However, it may not be needed to configure a full CHO condition along with every target preparation, conditions for different targets will have a lot of things in common. So, it might be </w:t>
      </w:r>
      <w:proofErr w:type="gramStart"/>
      <w:r>
        <w:t>sufficient</w:t>
      </w:r>
      <w:proofErr w:type="gramEnd"/>
      <w:r>
        <w:t xml:space="preserve"> to configure only a new offset for every target, e.g. the cell individual offset. And reuse the rest from already configured conditions.</w:t>
      </w:r>
    </w:p>
    <w:p w14:paraId="71C7BBBA" w14:textId="6DE3CEC4" w:rsidR="009D77B7" w:rsidRPr="00DA7580" w:rsidRDefault="00D36CBB" w:rsidP="003339D8">
      <w:pPr>
        <w:jc w:val="both"/>
        <w:rPr>
          <w:b/>
        </w:rPr>
      </w:pPr>
      <w:r>
        <w:rPr>
          <w:b/>
        </w:rPr>
        <w:t>Proposal 5: Different conditions for different targets shall be possible, but simplifications shall be considered.</w:t>
      </w:r>
    </w:p>
    <w:p w14:paraId="5EDB6265" w14:textId="400732C0" w:rsidR="007070A1" w:rsidRPr="006E13D1" w:rsidRDefault="00476772" w:rsidP="007070A1">
      <w:pPr>
        <w:pStyle w:val="Heading1"/>
      </w:pPr>
      <w:r>
        <w:t>3</w:t>
      </w:r>
      <w:r w:rsidR="007070A1" w:rsidRPr="006E13D1">
        <w:tab/>
      </w:r>
      <w:r w:rsidR="007070A1">
        <w:t>C</w:t>
      </w:r>
      <w:r w:rsidR="003912CB">
        <w:t>onclusions</w:t>
      </w:r>
    </w:p>
    <w:p w14:paraId="0E82DF09" w14:textId="31C3D97E" w:rsidR="00063C02" w:rsidRDefault="003E6CB9" w:rsidP="00CD4C7B">
      <w:r>
        <w:t>This paper discussed the design of CHO condition for handover execution. As a result, we made the following proposals:</w:t>
      </w:r>
    </w:p>
    <w:p w14:paraId="5975AFC8" w14:textId="417B744A" w:rsidR="003E6CB9" w:rsidRDefault="003E6CB9" w:rsidP="003E6CB9">
      <w:pPr>
        <w:jc w:val="both"/>
        <w:rPr>
          <w:b/>
        </w:rPr>
      </w:pPr>
      <w:r>
        <w:rPr>
          <w:b/>
        </w:rPr>
        <w:t xml:space="preserve">Proposal 1: The source cell adds the condition to the RRC connection reconfiguration carrying the HO Command (i.e. with </w:t>
      </w:r>
      <w:proofErr w:type="spellStart"/>
      <w:r w:rsidRPr="000153ED">
        <w:rPr>
          <w:b/>
          <w:i/>
        </w:rPr>
        <w:t>mobilityControlInfo</w:t>
      </w:r>
      <w:proofErr w:type="spellEnd"/>
      <w:r>
        <w:rPr>
          <w:b/>
        </w:rPr>
        <w:t>).</w:t>
      </w:r>
    </w:p>
    <w:p w14:paraId="0829B02C" w14:textId="7A08FA17" w:rsidR="00B16BA6" w:rsidRDefault="00B16BA6" w:rsidP="00B16BA6">
      <w:pPr>
        <w:jc w:val="both"/>
        <w:rPr>
          <w:b/>
        </w:rPr>
      </w:pPr>
      <w:r>
        <w:rPr>
          <w:b/>
        </w:rPr>
        <w:t xml:space="preserve">Proposal 2: The target does not need to know the exact condition, but may benefit from information providing guidance on how strict the resource reservation </w:t>
      </w:r>
      <w:proofErr w:type="gramStart"/>
      <w:r>
        <w:rPr>
          <w:b/>
        </w:rPr>
        <w:t>has to</w:t>
      </w:r>
      <w:proofErr w:type="gramEnd"/>
      <w:r>
        <w:rPr>
          <w:b/>
        </w:rPr>
        <w:t xml:space="preserve"> be.</w:t>
      </w:r>
    </w:p>
    <w:p w14:paraId="4C72809C" w14:textId="77777777" w:rsidR="00B16BA6" w:rsidRDefault="00B16BA6" w:rsidP="00B16BA6">
      <w:pPr>
        <w:jc w:val="both"/>
        <w:rPr>
          <w:b/>
        </w:rPr>
      </w:pPr>
      <w:r>
        <w:rPr>
          <w:b/>
        </w:rPr>
        <w:t>Proposal 3: The format of the CHO condition can use large parts of the A3 definition, however, it cannot be formulated as a measurement reporting event.</w:t>
      </w:r>
    </w:p>
    <w:p w14:paraId="67433A23" w14:textId="77777777" w:rsidR="00B16BA6" w:rsidRDefault="00B16BA6" w:rsidP="00B16BA6">
      <w:pPr>
        <w:jc w:val="both"/>
        <w:rPr>
          <w:b/>
        </w:rPr>
      </w:pPr>
      <w:r>
        <w:rPr>
          <w:b/>
        </w:rPr>
        <w:t>Proposal 4: Further conditions based on other than A3 principle shall not be studied in LTE Release 16.</w:t>
      </w:r>
    </w:p>
    <w:p w14:paraId="55F5E960" w14:textId="2FEE3F05" w:rsidR="00550379" w:rsidRPr="00DA7580" w:rsidRDefault="00B16BA6" w:rsidP="00550379">
      <w:pPr>
        <w:jc w:val="both"/>
        <w:rPr>
          <w:b/>
        </w:rPr>
      </w:pPr>
      <w:r>
        <w:rPr>
          <w:b/>
        </w:rPr>
        <w:t>Proposal 5: Different conditions for different targets shall be possible, but simplifications shall be considered.</w:t>
      </w:r>
    </w:p>
    <w:p w14:paraId="3460D97F" w14:textId="77777777" w:rsidR="00021DD9" w:rsidRPr="006E13D1" w:rsidRDefault="00021DD9" w:rsidP="00021DD9">
      <w:pPr>
        <w:pStyle w:val="Heading1"/>
      </w:pPr>
      <w:r w:rsidRPr="006E13D1">
        <w:t>References</w:t>
      </w:r>
    </w:p>
    <w:p w14:paraId="10628033" w14:textId="77777777" w:rsidR="0054791C" w:rsidRDefault="0054791C" w:rsidP="0054791C">
      <w:pPr>
        <w:numPr>
          <w:ilvl w:val="0"/>
          <w:numId w:val="4"/>
        </w:numPr>
        <w:overflowPunct w:val="0"/>
        <w:autoSpaceDE w:val="0"/>
        <w:autoSpaceDN w:val="0"/>
        <w:adjustRightInd w:val="0"/>
        <w:textAlignment w:val="baseline"/>
      </w:pPr>
      <w:bookmarkStart w:id="1" w:name="_Ref4051494"/>
      <w:bookmarkStart w:id="2" w:name="_Ref4083716"/>
      <w:r w:rsidRPr="009005B8">
        <w:t>R2-19</w:t>
      </w:r>
      <w:r>
        <w:t>02521</w:t>
      </w:r>
      <w:r w:rsidRPr="006E13D1">
        <w:t xml:space="preserve"> </w:t>
      </w:r>
      <w:r w:rsidRPr="007E608B">
        <w:rPr>
          <w:i/>
        </w:rPr>
        <w:t>Report from [Offline-801] Basics of Conditional HO</w:t>
      </w:r>
      <w:r>
        <w:t xml:space="preserve"> – Nokia, Nokia Shanghai Bell, 3GPP TSG-RAN WG2 Meeting #105 Athens, Greece, 25 Feb - 01 Mar 2019</w:t>
      </w:r>
      <w:bookmarkEnd w:id="1"/>
    </w:p>
    <w:p w14:paraId="430641A9" w14:textId="402C19BB" w:rsidR="00702FD0" w:rsidRDefault="00DF7031" w:rsidP="00702FD0">
      <w:pPr>
        <w:numPr>
          <w:ilvl w:val="0"/>
          <w:numId w:val="4"/>
        </w:numPr>
        <w:overflowPunct w:val="0"/>
        <w:autoSpaceDE w:val="0"/>
        <w:autoSpaceDN w:val="0"/>
        <w:adjustRightInd w:val="0"/>
        <w:textAlignment w:val="baseline"/>
      </w:pPr>
      <w:r>
        <w:t xml:space="preserve">R2-1901091 </w:t>
      </w:r>
      <w:r w:rsidR="00EF79D2" w:rsidRPr="00A14B70">
        <w:rPr>
          <w:i/>
        </w:rPr>
        <w:t>Triggering of Conditional Handover in LTE</w:t>
      </w:r>
      <w:r w:rsidR="00EF79D2">
        <w:t xml:space="preserve">, Ericsson, RAN2#105, Athens, Greece, </w:t>
      </w:r>
      <w:r w:rsidR="00D14382">
        <w:t>25 Feb - 01 Mar 2019</w:t>
      </w:r>
      <w:r w:rsidR="00EF79D2">
        <w:t>.</w:t>
      </w:r>
      <w:bookmarkEnd w:id="2"/>
    </w:p>
    <w:p w14:paraId="1D4276AF" w14:textId="68AED46C" w:rsidR="00A14B70" w:rsidRDefault="00687CD9" w:rsidP="00687CD9">
      <w:pPr>
        <w:numPr>
          <w:ilvl w:val="0"/>
          <w:numId w:val="4"/>
        </w:numPr>
        <w:overflowPunct w:val="0"/>
        <w:autoSpaceDE w:val="0"/>
        <w:autoSpaceDN w:val="0"/>
        <w:adjustRightInd w:val="0"/>
        <w:textAlignment w:val="baseline"/>
      </w:pPr>
      <w:bookmarkStart w:id="3" w:name="_Ref4424721"/>
      <w:r>
        <w:lastRenderedPageBreak/>
        <w:t>R2-190428</w:t>
      </w:r>
      <w:r>
        <w:t xml:space="preserve">1 </w:t>
      </w:r>
      <w:r w:rsidRPr="00687CD9">
        <w:rPr>
          <w:i/>
        </w:rPr>
        <w:t>[DRAFT] LS on data forwarding and HO preparation for Conditional Handover in E-UTRAN</w:t>
      </w:r>
      <w:r w:rsidR="00A14B70">
        <w:t xml:space="preserve">, RAN2#105bis, Xian, China, </w:t>
      </w:r>
      <w:r w:rsidR="00D14382">
        <w:t>8</w:t>
      </w:r>
      <w:proofErr w:type="gramStart"/>
      <w:r w:rsidR="00D14382" w:rsidRPr="00687CD9">
        <w:rPr>
          <w:vertAlign w:val="superscript"/>
        </w:rPr>
        <w:t>th</w:t>
      </w:r>
      <w:r w:rsidR="00D14382">
        <w:t xml:space="preserve">  –</w:t>
      </w:r>
      <w:proofErr w:type="gramEnd"/>
      <w:r w:rsidR="00D14382">
        <w:t xml:space="preserve"> 12</w:t>
      </w:r>
      <w:r w:rsidR="00D14382" w:rsidRPr="00687CD9">
        <w:rPr>
          <w:vertAlign w:val="superscript"/>
        </w:rPr>
        <w:t>th</w:t>
      </w:r>
      <w:r w:rsidR="00D14382">
        <w:t xml:space="preserve">  of </w:t>
      </w:r>
      <w:r w:rsidR="00A14B70">
        <w:t>April 2019.</w:t>
      </w:r>
      <w:bookmarkEnd w:id="3"/>
    </w:p>
    <w:p w14:paraId="3579D08D" w14:textId="77777777" w:rsidR="00A14B70" w:rsidRDefault="00A14B70" w:rsidP="00A14B70">
      <w:pPr>
        <w:overflowPunct w:val="0"/>
        <w:autoSpaceDE w:val="0"/>
        <w:autoSpaceDN w:val="0"/>
        <w:adjustRightInd w:val="0"/>
        <w:textAlignment w:val="baseline"/>
      </w:pPr>
    </w:p>
    <w:sectPr w:rsidR="00A14B70" w:rsidSect="00BF1B1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79D66" w14:textId="77777777" w:rsidR="008D7EFE" w:rsidRDefault="008D7EFE">
      <w:r>
        <w:separator/>
      </w:r>
    </w:p>
  </w:endnote>
  <w:endnote w:type="continuationSeparator" w:id="0">
    <w:p w14:paraId="5F7634EE" w14:textId="77777777" w:rsidR="008D7EFE" w:rsidRDefault="008D7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00"/>
    <w:family w:val="swiss"/>
    <w:pitch w:val="variable"/>
    <w:sig w:usb0="E0002AFF" w:usb1="5000785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F243D6" w:rsidRDefault="00F243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F243D6" w:rsidRDefault="00F243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F243D6" w:rsidRDefault="00F243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20BF5" w14:textId="77777777" w:rsidR="008D7EFE" w:rsidRDefault="008D7EFE">
      <w:r>
        <w:separator/>
      </w:r>
    </w:p>
  </w:footnote>
  <w:footnote w:type="continuationSeparator" w:id="0">
    <w:p w14:paraId="0D24401D" w14:textId="77777777" w:rsidR="008D7EFE" w:rsidRDefault="008D7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F243D6" w:rsidRDefault="00F243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F243D6" w:rsidRDefault="00F243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F243D6" w:rsidRDefault="00F243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40E2B"/>
    <w:multiLevelType w:val="hybridMultilevel"/>
    <w:tmpl w:val="6A2EED48"/>
    <w:lvl w:ilvl="0" w:tplc="5AC0D60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93A3E"/>
    <w:multiLevelType w:val="hybridMultilevel"/>
    <w:tmpl w:val="F868760C"/>
    <w:lvl w:ilvl="0" w:tplc="A4D86D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1B1679F"/>
    <w:multiLevelType w:val="hybridMultilevel"/>
    <w:tmpl w:val="7C9E1A92"/>
    <w:lvl w:ilvl="0" w:tplc="177A06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61B"/>
    <w:rsid w:val="00021BEB"/>
    <w:rsid w:val="00021DD9"/>
    <w:rsid w:val="00033397"/>
    <w:rsid w:val="00040095"/>
    <w:rsid w:val="00054FC9"/>
    <w:rsid w:val="00063C02"/>
    <w:rsid w:val="00080512"/>
    <w:rsid w:val="0008251E"/>
    <w:rsid w:val="00090468"/>
    <w:rsid w:val="00095856"/>
    <w:rsid w:val="000B7BCF"/>
    <w:rsid w:val="000C008C"/>
    <w:rsid w:val="000C4F3F"/>
    <w:rsid w:val="000C522B"/>
    <w:rsid w:val="000D58AB"/>
    <w:rsid w:val="000D6E25"/>
    <w:rsid w:val="000E13AB"/>
    <w:rsid w:val="001109C8"/>
    <w:rsid w:val="00112F1A"/>
    <w:rsid w:val="00116974"/>
    <w:rsid w:val="00134ADC"/>
    <w:rsid w:val="00145075"/>
    <w:rsid w:val="0014585D"/>
    <w:rsid w:val="00171701"/>
    <w:rsid w:val="001741A0"/>
    <w:rsid w:val="00175FA0"/>
    <w:rsid w:val="00194CD0"/>
    <w:rsid w:val="0019603C"/>
    <w:rsid w:val="001A412B"/>
    <w:rsid w:val="001A7D54"/>
    <w:rsid w:val="001B42C7"/>
    <w:rsid w:val="001B49C9"/>
    <w:rsid w:val="001C4F79"/>
    <w:rsid w:val="001D274A"/>
    <w:rsid w:val="001E628C"/>
    <w:rsid w:val="001F168B"/>
    <w:rsid w:val="001F7831"/>
    <w:rsid w:val="00204045"/>
    <w:rsid w:val="0020606E"/>
    <w:rsid w:val="002064F2"/>
    <w:rsid w:val="0020712B"/>
    <w:rsid w:val="0021417E"/>
    <w:rsid w:val="0022606D"/>
    <w:rsid w:val="00231728"/>
    <w:rsid w:val="00231804"/>
    <w:rsid w:val="002610D8"/>
    <w:rsid w:val="00273840"/>
    <w:rsid w:val="002747EC"/>
    <w:rsid w:val="00276E91"/>
    <w:rsid w:val="002855BF"/>
    <w:rsid w:val="002A1CE9"/>
    <w:rsid w:val="002C7471"/>
    <w:rsid w:val="002D1A78"/>
    <w:rsid w:val="002D694C"/>
    <w:rsid w:val="002F0D22"/>
    <w:rsid w:val="002F42E5"/>
    <w:rsid w:val="00314087"/>
    <w:rsid w:val="003172DC"/>
    <w:rsid w:val="00325AE3"/>
    <w:rsid w:val="00326069"/>
    <w:rsid w:val="003339D8"/>
    <w:rsid w:val="0035462D"/>
    <w:rsid w:val="00364B41"/>
    <w:rsid w:val="003912CB"/>
    <w:rsid w:val="003A41EF"/>
    <w:rsid w:val="003A6B2A"/>
    <w:rsid w:val="003B40AD"/>
    <w:rsid w:val="003C1827"/>
    <w:rsid w:val="003C4E37"/>
    <w:rsid w:val="003D38F4"/>
    <w:rsid w:val="003E16BE"/>
    <w:rsid w:val="003E6CB9"/>
    <w:rsid w:val="003F4E28"/>
    <w:rsid w:val="004006E8"/>
    <w:rsid w:val="00401855"/>
    <w:rsid w:val="00413B83"/>
    <w:rsid w:val="0042406B"/>
    <w:rsid w:val="00453CE6"/>
    <w:rsid w:val="00465587"/>
    <w:rsid w:val="00476772"/>
    <w:rsid w:val="00477455"/>
    <w:rsid w:val="00496A2F"/>
    <w:rsid w:val="004A1F7B"/>
    <w:rsid w:val="004A24C8"/>
    <w:rsid w:val="004A6E08"/>
    <w:rsid w:val="004C44D2"/>
    <w:rsid w:val="004D3578"/>
    <w:rsid w:val="004D380D"/>
    <w:rsid w:val="004D3D5C"/>
    <w:rsid w:val="004D67B7"/>
    <w:rsid w:val="004E213A"/>
    <w:rsid w:val="00500E35"/>
    <w:rsid w:val="00503171"/>
    <w:rsid w:val="00506C28"/>
    <w:rsid w:val="00534DA0"/>
    <w:rsid w:val="00535B46"/>
    <w:rsid w:val="00543E6C"/>
    <w:rsid w:val="0054791C"/>
    <w:rsid w:val="00550379"/>
    <w:rsid w:val="0056065F"/>
    <w:rsid w:val="00565087"/>
    <w:rsid w:val="0056573F"/>
    <w:rsid w:val="00572F72"/>
    <w:rsid w:val="005E0FB4"/>
    <w:rsid w:val="005E17C6"/>
    <w:rsid w:val="00611566"/>
    <w:rsid w:val="00634E36"/>
    <w:rsid w:val="00646D99"/>
    <w:rsid w:val="00656910"/>
    <w:rsid w:val="00687CD9"/>
    <w:rsid w:val="006C66D8"/>
    <w:rsid w:val="006D1E24"/>
    <w:rsid w:val="006E1417"/>
    <w:rsid w:val="006F6A2C"/>
    <w:rsid w:val="0070267C"/>
    <w:rsid w:val="00702FD0"/>
    <w:rsid w:val="00704730"/>
    <w:rsid w:val="007070A1"/>
    <w:rsid w:val="007071D8"/>
    <w:rsid w:val="00710201"/>
    <w:rsid w:val="0072436A"/>
    <w:rsid w:val="007342B5"/>
    <w:rsid w:val="00734A5B"/>
    <w:rsid w:val="00744E76"/>
    <w:rsid w:val="00745D1D"/>
    <w:rsid w:val="00752222"/>
    <w:rsid w:val="00757D40"/>
    <w:rsid w:val="0076184D"/>
    <w:rsid w:val="0076218A"/>
    <w:rsid w:val="007647C9"/>
    <w:rsid w:val="00780A21"/>
    <w:rsid w:val="00781F0F"/>
    <w:rsid w:val="0078727C"/>
    <w:rsid w:val="0079049D"/>
    <w:rsid w:val="00793DC5"/>
    <w:rsid w:val="007A5929"/>
    <w:rsid w:val="007B18D8"/>
    <w:rsid w:val="007B5E0D"/>
    <w:rsid w:val="007B74A2"/>
    <w:rsid w:val="007C095F"/>
    <w:rsid w:val="007C2DD0"/>
    <w:rsid w:val="008028A4"/>
    <w:rsid w:val="00813245"/>
    <w:rsid w:val="00815AC2"/>
    <w:rsid w:val="00817D2F"/>
    <w:rsid w:val="0082456E"/>
    <w:rsid w:val="008509F3"/>
    <w:rsid w:val="00853B79"/>
    <w:rsid w:val="008768CA"/>
    <w:rsid w:val="00877EF9"/>
    <w:rsid w:val="00880559"/>
    <w:rsid w:val="008867F4"/>
    <w:rsid w:val="008B5306"/>
    <w:rsid w:val="008D2E4D"/>
    <w:rsid w:val="008D7EFE"/>
    <w:rsid w:val="008E2AE4"/>
    <w:rsid w:val="008F396F"/>
    <w:rsid w:val="0090185F"/>
    <w:rsid w:val="0090271F"/>
    <w:rsid w:val="00902DB9"/>
    <w:rsid w:val="0090466A"/>
    <w:rsid w:val="00924DBD"/>
    <w:rsid w:val="00936071"/>
    <w:rsid w:val="00940212"/>
    <w:rsid w:val="00942EC2"/>
    <w:rsid w:val="009534C2"/>
    <w:rsid w:val="00961B32"/>
    <w:rsid w:val="00962509"/>
    <w:rsid w:val="00970BCB"/>
    <w:rsid w:val="00970DB3"/>
    <w:rsid w:val="00974BB0"/>
    <w:rsid w:val="009763D6"/>
    <w:rsid w:val="009A0AF3"/>
    <w:rsid w:val="009B07CD"/>
    <w:rsid w:val="009C19E9"/>
    <w:rsid w:val="009D74A6"/>
    <w:rsid w:val="009D77B7"/>
    <w:rsid w:val="00A10F02"/>
    <w:rsid w:val="00A14B70"/>
    <w:rsid w:val="00A204CA"/>
    <w:rsid w:val="00A250A7"/>
    <w:rsid w:val="00A53724"/>
    <w:rsid w:val="00A82346"/>
    <w:rsid w:val="00A9671C"/>
    <w:rsid w:val="00AA1553"/>
    <w:rsid w:val="00AA7061"/>
    <w:rsid w:val="00AB2D85"/>
    <w:rsid w:val="00AC251F"/>
    <w:rsid w:val="00B05380"/>
    <w:rsid w:val="00B05962"/>
    <w:rsid w:val="00B15449"/>
    <w:rsid w:val="00B16BA6"/>
    <w:rsid w:val="00B27303"/>
    <w:rsid w:val="00B3279E"/>
    <w:rsid w:val="00B42C75"/>
    <w:rsid w:val="00B47FD1"/>
    <w:rsid w:val="00B516BB"/>
    <w:rsid w:val="00B71493"/>
    <w:rsid w:val="00B75D2A"/>
    <w:rsid w:val="00B84DB2"/>
    <w:rsid w:val="00BA57FA"/>
    <w:rsid w:val="00BB288F"/>
    <w:rsid w:val="00BC2862"/>
    <w:rsid w:val="00BC3555"/>
    <w:rsid w:val="00BF1B1C"/>
    <w:rsid w:val="00C00C44"/>
    <w:rsid w:val="00C12B51"/>
    <w:rsid w:val="00C16C24"/>
    <w:rsid w:val="00C21E01"/>
    <w:rsid w:val="00C24650"/>
    <w:rsid w:val="00C25465"/>
    <w:rsid w:val="00C33079"/>
    <w:rsid w:val="00C41971"/>
    <w:rsid w:val="00C55AFE"/>
    <w:rsid w:val="00C61E0E"/>
    <w:rsid w:val="00C76B2B"/>
    <w:rsid w:val="00C83A13"/>
    <w:rsid w:val="00C9068C"/>
    <w:rsid w:val="00C91DE5"/>
    <w:rsid w:val="00C92967"/>
    <w:rsid w:val="00CA3D0C"/>
    <w:rsid w:val="00CA654B"/>
    <w:rsid w:val="00CB72B8"/>
    <w:rsid w:val="00CD4C7B"/>
    <w:rsid w:val="00CF1B30"/>
    <w:rsid w:val="00CF5937"/>
    <w:rsid w:val="00D13605"/>
    <w:rsid w:val="00D14382"/>
    <w:rsid w:val="00D33BE3"/>
    <w:rsid w:val="00D36331"/>
    <w:rsid w:val="00D36CBB"/>
    <w:rsid w:val="00D3792D"/>
    <w:rsid w:val="00D42FAF"/>
    <w:rsid w:val="00D52750"/>
    <w:rsid w:val="00D55E47"/>
    <w:rsid w:val="00D56BB5"/>
    <w:rsid w:val="00D62E19"/>
    <w:rsid w:val="00D67CD1"/>
    <w:rsid w:val="00D738D6"/>
    <w:rsid w:val="00D80795"/>
    <w:rsid w:val="00D854BE"/>
    <w:rsid w:val="00D87E00"/>
    <w:rsid w:val="00D9134D"/>
    <w:rsid w:val="00D96D11"/>
    <w:rsid w:val="00DA664A"/>
    <w:rsid w:val="00DA7580"/>
    <w:rsid w:val="00DA7A03"/>
    <w:rsid w:val="00DB0DB8"/>
    <w:rsid w:val="00DB1818"/>
    <w:rsid w:val="00DB441C"/>
    <w:rsid w:val="00DC309B"/>
    <w:rsid w:val="00DC4DA2"/>
    <w:rsid w:val="00DF7031"/>
    <w:rsid w:val="00E1197A"/>
    <w:rsid w:val="00E13FDB"/>
    <w:rsid w:val="00E4079B"/>
    <w:rsid w:val="00E46C08"/>
    <w:rsid w:val="00E471CF"/>
    <w:rsid w:val="00E524D9"/>
    <w:rsid w:val="00E62835"/>
    <w:rsid w:val="00E76B0E"/>
    <w:rsid w:val="00E77645"/>
    <w:rsid w:val="00E83697"/>
    <w:rsid w:val="00EA54B7"/>
    <w:rsid w:val="00EC4A25"/>
    <w:rsid w:val="00EF79D2"/>
    <w:rsid w:val="00F025A2"/>
    <w:rsid w:val="00F07388"/>
    <w:rsid w:val="00F2026E"/>
    <w:rsid w:val="00F2210A"/>
    <w:rsid w:val="00F243D6"/>
    <w:rsid w:val="00F37743"/>
    <w:rsid w:val="00F4462B"/>
    <w:rsid w:val="00F458DC"/>
    <w:rsid w:val="00F515F9"/>
    <w:rsid w:val="00F54A3D"/>
    <w:rsid w:val="00F54CB0"/>
    <w:rsid w:val="00F5556A"/>
    <w:rsid w:val="00F653B8"/>
    <w:rsid w:val="00F71B89"/>
    <w:rsid w:val="00F7353C"/>
    <w:rsid w:val="00F76F8F"/>
    <w:rsid w:val="00F84ED3"/>
    <w:rsid w:val="00F9284C"/>
    <w:rsid w:val="00F941DF"/>
    <w:rsid w:val="00FA1266"/>
    <w:rsid w:val="00FA1F60"/>
    <w:rsid w:val="00FA4528"/>
    <w:rsid w:val="00FB36FA"/>
    <w:rsid w:val="00FC1192"/>
    <w:rsid w:val="00FC4D8C"/>
    <w:rsid w:val="00FD6A6B"/>
    <w:rsid w:val="00FE251B"/>
    <w:rsid w:val="261989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45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3B79"/>
    <w:pPr>
      <w:ind w:left="720"/>
      <w:contextualSpacing/>
    </w:pPr>
  </w:style>
  <w:style w:type="character" w:styleId="CommentReference">
    <w:name w:val="annotation reference"/>
    <w:basedOn w:val="DefaultParagraphFont"/>
    <w:rsid w:val="00780A21"/>
    <w:rPr>
      <w:sz w:val="16"/>
      <w:szCs w:val="16"/>
    </w:rPr>
  </w:style>
  <w:style w:type="paragraph" w:styleId="CommentText">
    <w:name w:val="annotation text"/>
    <w:basedOn w:val="Normal"/>
    <w:link w:val="CommentTextChar"/>
    <w:rsid w:val="00780A21"/>
  </w:style>
  <w:style w:type="character" w:customStyle="1" w:styleId="CommentTextChar">
    <w:name w:val="Comment Text Char"/>
    <w:basedOn w:val="DefaultParagraphFont"/>
    <w:link w:val="CommentText"/>
    <w:rsid w:val="00780A21"/>
    <w:rPr>
      <w:lang w:eastAsia="en-US"/>
    </w:rPr>
  </w:style>
  <w:style w:type="paragraph" w:styleId="CommentSubject">
    <w:name w:val="annotation subject"/>
    <w:basedOn w:val="CommentText"/>
    <w:next w:val="CommentText"/>
    <w:link w:val="CommentSubjectChar"/>
    <w:rsid w:val="00780A21"/>
    <w:rPr>
      <w:b/>
      <w:bCs/>
    </w:rPr>
  </w:style>
  <w:style w:type="character" w:customStyle="1" w:styleId="CommentSubjectChar">
    <w:name w:val="Comment Subject Char"/>
    <w:basedOn w:val="CommentTextChar"/>
    <w:link w:val="CommentSubject"/>
    <w:rsid w:val="00780A21"/>
    <w:rPr>
      <w:b/>
      <w:bCs/>
      <w:lang w:eastAsia="en-US"/>
    </w:rPr>
  </w:style>
  <w:style w:type="character" w:customStyle="1" w:styleId="Heading2Char">
    <w:name w:val="Heading 2 Char"/>
    <w:basedOn w:val="DefaultParagraphFont"/>
    <w:link w:val="Heading2"/>
    <w:rsid w:val="0009585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2092">
      <w:bodyDiv w:val="1"/>
      <w:marLeft w:val="0"/>
      <w:marRight w:val="0"/>
      <w:marTop w:val="0"/>
      <w:marBottom w:val="0"/>
      <w:divBdr>
        <w:top w:val="none" w:sz="0" w:space="0" w:color="auto"/>
        <w:left w:val="none" w:sz="0" w:space="0" w:color="auto"/>
        <w:bottom w:val="none" w:sz="0" w:space="0" w:color="auto"/>
        <w:right w:val="none" w:sz="0" w:space="0" w:color="auto"/>
      </w:divBdr>
      <w:divsChild>
        <w:div w:id="1310594453">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531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5AIRPNAIUNRU-859666464-4856</_dlc_DocId>
    <_dlc_DocIdUrl xmlns="71c5aaf6-e6ce-465b-b873-5148d2a4c105">
      <Url>https://nokia.sharepoint.com/sites/c5g/e2earch/_layouts/15/DocIdRedir.aspx?ID=5AIRPNAIUNRU-859666464-4856</Url>
      <Description>5AIRPNAIUNRU-859666464-4856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83f22d2f-d16e-4be6-ad4f-29fa0b067c3c"/>
    <ds:schemaRef ds:uri="a3840f4f-04be-43d1-b2ef-6ff1382503c7"/>
    <ds:schemaRef ds:uri="3b34c8f0-1ef5-4d1e-bb66-517ce7fe7356"/>
    <ds:schemaRef ds:uri="http://www.w3.org/XML/1998/namespace"/>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E139D956-B896-401F-8AC0-A54EFBAB4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438</TotalTime>
  <Pages>3</Pages>
  <Words>1112</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lastModifiedBy>Nokia</cp:lastModifiedBy>
  <cp:revision>22</cp:revision>
  <dcterms:created xsi:type="dcterms:W3CDTF">2019-03-21T08:54:00Z</dcterms:created>
  <dcterms:modified xsi:type="dcterms:W3CDTF">2019-03-28T16:44:00Z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05679001-27df-4a9f-aae6-c32d7d860d5b</vt:lpwstr>
  </property>
  <property fmtid="{D5CDD505-2E9C-101B-9397-08002B2CF9AE}" pid="4" name="AuthorIds_UIVersion_4608">
    <vt:lpwstr>723</vt:lpwstr>
  </property>
  <property fmtid="{D5CDD505-2E9C-101B-9397-08002B2CF9AE}" pid="5" name="AuthorIds_UIVersion_5120">
    <vt:lpwstr>723</vt:lpwstr>
  </property>
  <property fmtid="{D5CDD505-2E9C-101B-9397-08002B2CF9AE}" pid="6" name="AuthorIds_UIVersion_2560">
    <vt:lpwstr>1296</vt:lpwstr>
  </property>
  <property fmtid="{D5CDD505-2E9C-101B-9397-08002B2CF9AE}" pid="7" name="AuthorIds_UIVersion_3584">
    <vt:lpwstr>723</vt:lpwstr>
  </property>
</Properties>
</file>